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DD009" w14:textId="77777777" w:rsidR="003A5E27" w:rsidRDefault="003A5E27" w:rsidP="003A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 – Analyse de document</w:t>
      </w:r>
    </w:p>
    <w:p w14:paraId="7F32E32D" w14:textId="77777777" w:rsidR="003A5E27" w:rsidRPr="00F947C7" w:rsidRDefault="003A5E27" w:rsidP="003A5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Corrigé (plan détaillé)</w:t>
      </w:r>
    </w:p>
    <w:p w14:paraId="5E422391" w14:textId="77777777" w:rsidR="003A5E27" w:rsidRDefault="003A5E27" w:rsidP="003A5E2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A5B5302" w14:textId="5CB6B0BF" w:rsidR="003A5E27" w:rsidRPr="00F947C7" w:rsidRDefault="003A5E27" w:rsidP="003A5E2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C80F10">
        <w:rPr>
          <w:rFonts w:ascii="Arial" w:hAnsi="Arial" w:cs="Arial"/>
          <w:b/>
          <w:sz w:val="24"/>
          <w:szCs w:val="24"/>
        </w:rPr>
        <w:t>172-173</w:t>
      </w:r>
      <w:bookmarkStart w:id="0" w:name="_GoBack"/>
      <w:bookmarkEnd w:id="0"/>
    </w:p>
    <w:p w14:paraId="0C8C4BB2" w14:textId="77777777" w:rsidR="003A5E27" w:rsidRPr="00AC2F22" w:rsidRDefault="003A5E27" w:rsidP="003A5E27">
      <w:pPr>
        <w:rPr>
          <w:rFonts w:ascii="Arial" w:hAnsi="Arial" w:cs="Arial"/>
          <w:sz w:val="24"/>
          <w:szCs w:val="24"/>
        </w:rPr>
      </w:pPr>
    </w:p>
    <w:p w14:paraId="7D40A894" w14:textId="77777777" w:rsidR="003A5E27" w:rsidRPr="00A239C1" w:rsidRDefault="003A5E27" w:rsidP="003A5E2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39C1">
        <w:rPr>
          <w:rFonts w:ascii="Arial" w:hAnsi="Arial" w:cs="Arial"/>
          <w:b/>
          <w:sz w:val="24"/>
          <w:szCs w:val="24"/>
        </w:rPr>
        <w:t>Sujet :</w:t>
      </w:r>
    </w:p>
    <w:p w14:paraId="5C806EA7" w14:textId="6B6C8AC3" w:rsidR="00B14A87" w:rsidRPr="003A5E27" w:rsidRDefault="00B14A87" w:rsidP="003A5E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E27">
        <w:rPr>
          <w:rFonts w:ascii="Arial" w:hAnsi="Arial" w:cs="Arial"/>
          <w:b/>
          <w:bCs/>
          <w:sz w:val="24"/>
          <w:szCs w:val="24"/>
        </w:rPr>
        <w:t>Les rec</w:t>
      </w:r>
      <w:r w:rsidR="00CD2BB6">
        <w:rPr>
          <w:rFonts w:ascii="Arial" w:hAnsi="Arial" w:cs="Arial"/>
          <w:b/>
          <w:bCs/>
          <w:sz w:val="24"/>
          <w:szCs w:val="24"/>
        </w:rPr>
        <w:t>ompositions des espaces ruraux</w:t>
      </w:r>
    </w:p>
    <w:p w14:paraId="0ADABC37" w14:textId="77777777" w:rsidR="003A5E27" w:rsidRDefault="003A5E27" w:rsidP="003A5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4A3457" w14:textId="4B3F5A5B" w:rsidR="00785E2A" w:rsidRPr="008D3D32" w:rsidRDefault="00CE0DC9" w:rsidP="003A5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 : le plan proposé doit être développé avec les connaissances personnelles et les informations contenues dans le tableau (voir </w:t>
      </w:r>
      <w:r w:rsidR="003A5E27">
        <w:rPr>
          <w:rFonts w:ascii="Arial" w:hAnsi="Arial" w:cs="Arial"/>
          <w:sz w:val="24"/>
          <w:szCs w:val="24"/>
        </w:rPr>
        <w:t>ci-dessous</w:t>
      </w:r>
      <w:r>
        <w:rPr>
          <w:rFonts w:ascii="Arial" w:hAnsi="Arial" w:cs="Arial"/>
          <w:sz w:val="24"/>
          <w:szCs w:val="24"/>
        </w:rPr>
        <w:t>)</w:t>
      </w:r>
      <w:r w:rsidR="003A5E27">
        <w:rPr>
          <w:rFonts w:ascii="Arial" w:hAnsi="Arial" w:cs="Arial"/>
          <w:sz w:val="24"/>
          <w:szCs w:val="24"/>
        </w:rPr>
        <w:t>.</w:t>
      </w:r>
    </w:p>
    <w:p w14:paraId="63999163" w14:textId="77777777" w:rsidR="003A5E27" w:rsidRDefault="003A5E27" w:rsidP="003A5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442D9" w14:textId="587A36EA" w:rsidR="00785E2A" w:rsidRPr="003A5E27" w:rsidRDefault="00785E2A" w:rsidP="003A5E2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A5E27">
        <w:rPr>
          <w:rFonts w:ascii="Arial" w:hAnsi="Arial" w:cs="Arial"/>
          <w:b/>
          <w:i/>
          <w:sz w:val="24"/>
          <w:szCs w:val="24"/>
        </w:rPr>
        <w:t>Introduction</w:t>
      </w:r>
    </w:p>
    <w:p w14:paraId="2AE54BB4" w14:textId="30283BC8" w:rsidR="00EC2E07" w:rsidRPr="008D3D32" w:rsidRDefault="00CA0C26" w:rsidP="003A5E2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>L’ensemble documentaire proposé est constitué d’un texte d’un géographe présentant les campagnes</w:t>
      </w:r>
      <w:r w:rsidR="00B03471" w:rsidRPr="008D3D32">
        <w:rPr>
          <w:rFonts w:ascii="Arial" w:hAnsi="Arial" w:cs="Arial"/>
          <w:sz w:val="24"/>
          <w:szCs w:val="24"/>
        </w:rPr>
        <w:t xml:space="preserve"> québécoises et d’un tableau de statistiques </w:t>
      </w:r>
      <w:r w:rsidR="009650AB" w:rsidRPr="008D3D32">
        <w:rPr>
          <w:rFonts w:ascii="Arial" w:hAnsi="Arial" w:cs="Arial"/>
          <w:sz w:val="24"/>
          <w:szCs w:val="24"/>
        </w:rPr>
        <w:t xml:space="preserve">définissant une typologie des campagnes françaises. </w:t>
      </w:r>
      <w:r w:rsidR="00977957" w:rsidRPr="008D3D32">
        <w:rPr>
          <w:rFonts w:ascii="Arial" w:hAnsi="Arial" w:cs="Arial"/>
          <w:sz w:val="24"/>
          <w:szCs w:val="24"/>
        </w:rPr>
        <w:t>Ces documents, datés de 2018, permettent de s’interroger sur la recomposit</w:t>
      </w:r>
      <w:r w:rsidR="00244EFF" w:rsidRPr="008D3D32">
        <w:rPr>
          <w:rFonts w:ascii="Arial" w:hAnsi="Arial" w:cs="Arial"/>
          <w:sz w:val="24"/>
          <w:szCs w:val="24"/>
        </w:rPr>
        <w:t>i</w:t>
      </w:r>
      <w:r w:rsidR="00977957" w:rsidRPr="008D3D32">
        <w:rPr>
          <w:rFonts w:ascii="Arial" w:hAnsi="Arial" w:cs="Arial"/>
          <w:sz w:val="24"/>
          <w:szCs w:val="24"/>
        </w:rPr>
        <w:t xml:space="preserve">on des espaces ruraux au Québec et en France. </w:t>
      </w:r>
      <w:r w:rsidR="00EC2E07" w:rsidRPr="008D3D32">
        <w:rPr>
          <w:rFonts w:ascii="Arial" w:hAnsi="Arial" w:cs="Arial"/>
          <w:sz w:val="24"/>
          <w:szCs w:val="24"/>
        </w:rPr>
        <w:t xml:space="preserve">Nous caractériserons les relations entre villes et campagnes, puis nous mettrons en évidence la multifonctionnalité des espaces ruraux et les défis qui en découlent. </w:t>
      </w:r>
    </w:p>
    <w:p w14:paraId="060C6815" w14:textId="52F52EF4" w:rsidR="00785E2A" w:rsidRPr="008D3D32" w:rsidRDefault="00785E2A" w:rsidP="003A5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A61B98" w14:textId="0CBD0118" w:rsidR="00B14A87" w:rsidRPr="003A5E27" w:rsidRDefault="003A5E27" w:rsidP="003A5E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5E27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B14A87" w:rsidRPr="003A5E27">
        <w:rPr>
          <w:rFonts w:ascii="Arial" w:hAnsi="Arial" w:cs="Arial"/>
          <w:b/>
          <w:sz w:val="24"/>
          <w:szCs w:val="24"/>
          <w:u w:val="single"/>
        </w:rPr>
        <w:t>Les relations entre villes et campagnes</w:t>
      </w:r>
    </w:p>
    <w:p w14:paraId="777D89FB" w14:textId="77777777" w:rsidR="00446EF8" w:rsidRPr="008D3D32" w:rsidRDefault="00446EF8" w:rsidP="003A5E2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>Interdépendance</w:t>
      </w:r>
      <w:r w:rsidR="00970D79" w:rsidRPr="008D3D32">
        <w:rPr>
          <w:rFonts w:ascii="Arial" w:hAnsi="Arial" w:cs="Arial"/>
          <w:sz w:val="24"/>
          <w:szCs w:val="24"/>
        </w:rPr>
        <w:t xml:space="preserve"> et complémentarité</w:t>
      </w:r>
    </w:p>
    <w:p w14:paraId="26235460" w14:textId="1D9BA700" w:rsidR="00970D79" w:rsidRPr="008D3D32" w:rsidRDefault="00384BD6" w:rsidP="003A5E2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>Une pression urbaine croissante</w:t>
      </w:r>
    </w:p>
    <w:p w14:paraId="03D60DBF" w14:textId="77777777" w:rsidR="003A5E27" w:rsidRDefault="003A5E27" w:rsidP="003A5E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68B9D2" w14:textId="78E7F991" w:rsidR="00B14A87" w:rsidRPr="003A5E27" w:rsidRDefault="003A5E27" w:rsidP="003A5E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B14A87" w:rsidRPr="003A5E27">
        <w:rPr>
          <w:rFonts w:ascii="Arial" w:hAnsi="Arial" w:cs="Arial"/>
          <w:b/>
          <w:sz w:val="24"/>
          <w:szCs w:val="24"/>
          <w:u w:val="single"/>
        </w:rPr>
        <w:t>Multifonctionnalité des espaces ruraux et défis</w:t>
      </w:r>
    </w:p>
    <w:p w14:paraId="6377DE53" w14:textId="536345EE" w:rsidR="008B7FAC" w:rsidRPr="008D3D32" w:rsidRDefault="008B7FAC" w:rsidP="003A5E2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>Une ruralité plurielle</w:t>
      </w:r>
      <w:r w:rsidR="00EF6624" w:rsidRPr="008D3D32">
        <w:rPr>
          <w:rFonts w:ascii="Arial" w:hAnsi="Arial" w:cs="Arial"/>
          <w:sz w:val="24"/>
          <w:szCs w:val="24"/>
        </w:rPr>
        <w:t xml:space="preserve"> = multifonctionnalité</w:t>
      </w:r>
    </w:p>
    <w:p w14:paraId="6B034ADB" w14:textId="1FB80DBD" w:rsidR="008B7FAC" w:rsidRPr="008D3D32" w:rsidRDefault="0038532B" w:rsidP="003A5E2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>L</w:t>
      </w:r>
      <w:r w:rsidR="008B7FAC" w:rsidRPr="008D3D32">
        <w:rPr>
          <w:rFonts w:ascii="Arial" w:hAnsi="Arial" w:cs="Arial"/>
          <w:sz w:val="24"/>
          <w:szCs w:val="24"/>
        </w:rPr>
        <w:t>es défis</w:t>
      </w:r>
      <w:r w:rsidR="00EF6624" w:rsidRPr="008D3D32">
        <w:rPr>
          <w:rFonts w:ascii="Arial" w:hAnsi="Arial" w:cs="Arial"/>
          <w:sz w:val="24"/>
          <w:szCs w:val="24"/>
        </w:rPr>
        <w:t xml:space="preserve"> de la modernisation = fragmentation</w:t>
      </w:r>
      <w:r w:rsidR="009554C7" w:rsidRPr="008D3D32">
        <w:rPr>
          <w:rFonts w:ascii="Arial" w:hAnsi="Arial" w:cs="Arial"/>
          <w:sz w:val="24"/>
          <w:szCs w:val="24"/>
        </w:rPr>
        <w:t>, conflits d’usage</w:t>
      </w:r>
    </w:p>
    <w:p w14:paraId="30AD8A0D" w14:textId="77777777" w:rsidR="00B14A87" w:rsidRPr="008D3D32" w:rsidRDefault="00B14A87" w:rsidP="003A5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95E99F" w14:textId="765E22FD" w:rsidR="00B14A87" w:rsidRPr="003A5E27" w:rsidRDefault="00EC2E07" w:rsidP="003A5E2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A5E27">
        <w:rPr>
          <w:rFonts w:ascii="Arial" w:hAnsi="Arial" w:cs="Arial"/>
          <w:b/>
          <w:i/>
          <w:sz w:val="24"/>
          <w:szCs w:val="24"/>
        </w:rPr>
        <w:lastRenderedPageBreak/>
        <w:t>Conclusion</w:t>
      </w:r>
    </w:p>
    <w:p w14:paraId="179E52DD" w14:textId="726A75C4" w:rsidR="00EC2E07" w:rsidRPr="008D3D32" w:rsidRDefault="003B06F6" w:rsidP="003A5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D32">
        <w:rPr>
          <w:rFonts w:ascii="Arial" w:hAnsi="Arial" w:cs="Arial"/>
          <w:sz w:val="24"/>
          <w:szCs w:val="24"/>
        </w:rPr>
        <w:t xml:space="preserve">Les exemples </w:t>
      </w:r>
      <w:r w:rsidR="002F6E83" w:rsidRPr="008D3D32">
        <w:rPr>
          <w:rFonts w:ascii="Arial" w:hAnsi="Arial" w:cs="Arial"/>
          <w:sz w:val="24"/>
          <w:szCs w:val="24"/>
        </w:rPr>
        <w:t xml:space="preserve">du Québec et de la France montrent que les espaces ruraux </w:t>
      </w:r>
      <w:r w:rsidR="004801F9" w:rsidRPr="008D3D32">
        <w:rPr>
          <w:rFonts w:ascii="Arial" w:hAnsi="Arial" w:cs="Arial"/>
          <w:sz w:val="24"/>
          <w:szCs w:val="24"/>
        </w:rPr>
        <w:t xml:space="preserve">des pays développés </w:t>
      </w:r>
      <w:r w:rsidR="00522F24" w:rsidRPr="008D3D32">
        <w:rPr>
          <w:rFonts w:ascii="Arial" w:hAnsi="Arial" w:cs="Arial"/>
          <w:sz w:val="24"/>
          <w:szCs w:val="24"/>
        </w:rPr>
        <w:t>connaissent une recomposition</w:t>
      </w:r>
      <w:r w:rsidR="00F8333C" w:rsidRPr="008D3D32">
        <w:rPr>
          <w:rFonts w:ascii="Arial" w:hAnsi="Arial" w:cs="Arial"/>
          <w:sz w:val="24"/>
          <w:szCs w:val="24"/>
        </w:rPr>
        <w:t xml:space="preserve">. Ce phénomène se caractérise par </w:t>
      </w:r>
      <w:r w:rsidR="002420B9" w:rsidRPr="008D3D32">
        <w:rPr>
          <w:rFonts w:ascii="Arial" w:hAnsi="Arial" w:cs="Arial"/>
          <w:sz w:val="24"/>
          <w:szCs w:val="24"/>
        </w:rPr>
        <w:t>une multifonctionnalité croissante</w:t>
      </w:r>
      <w:r w:rsidR="001F6FED" w:rsidRPr="008D3D32">
        <w:rPr>
          <w:rFonts w:ascii="Arial" w:hAnsi="Arial" w:cs="Arial"/>
          <w:sz w:val="24"/>
          <w:szCs w:val="24"/>
        </w:rPr>
        <w:t xml:space="preserve"> </w:t>
      </w:r>
      <w:r w:rsidR="00E015B7" w:rsidRPr="008D3D32">
        <w:rPr>
          <w:rFonts w:ascii="Arial" w:hAnsi="Arial" w:cs="Arial"/>
          <w:sz w:val="24"/>
          <w:szCs w:val="24"/>
        </w:rPr>
        <w:t xml:space="preserve">et une fragmentation </w:t>
      </w:r>
      <w:r w:rsidR="001F6FED" w:rsidRPr="008D3D32">
        <w:rPr>
          <w:rFonts w:ascii="Arial" w:hAnsi="Arial" w:cs="Arial"/>
          <w:sz w:val="24"/>
          <w:szCs w:val="24"/>
        </w:rPr>
        <w:t>des campagnes</w:t>
      </w:r>
      <w:r w:rsidR="00A56D6C" w:rsidRPr="008D3D32">
        <w:rPr>
          <w:rFonts w:ascii="Arial" w:hAnsi="Arial" w:cs="Arial"/>
          <w:sz w:val="24"/>
          <w:szCs w:val="24"/>
        </w:rPr>
        <w:t xml:space="preserve">. </w:t>
      </w:r>
      <w:r w:rsidR="001F6FED" w:rsidRPr="008D3D32">
        <w:rPr>
          <w:rFonts w:ascii="Arial" w:hAnsi="Arial" w:cs="Arial"/>
          <w:sz w:val="24"/>
          <w:szCs w:val="24"/>
        </w:rPr>
        <w:t xml:space="preserve"> </w:t>
      </w:r>
    </w:p>
    <w:p w14:paraId="6E302484" w14:textId="77777777" w:rsidR="00B14A87" w:rsidRPr="008D3D32" w:rsidRDefault="00B14A87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36" w:type="dxa"/>
        <w:tblLook w:val="04A0" w:firstRow="1" w:lastRow="0" w:firstColumn="1" w:lastColumn="0" w:noHBand="0" w:noVBand="1"/>
      </w:tblPr>
      <w:tblGrid>
        <w:gridCol w:w="2350"/>
        <w:gridCol w:w="3741"/>
        <w:gridCol w:w="3645"/>
      </w:tblGrid>
      <w:tr w:rsidR="002135DD" w:rsidRPr="008D3D32" w14:paraId="1924BA63" w14:textId="77777777" w:rsidTr="003A5E27">
        <w:trPr>
          <w:trHeight w:val="579"/>
        </w:trPr>
        <w:tc>
          <w:tcPr>
            <w:tcW w:w="2350" w:type="dxa"/>
          </w:tcPr>
          <w:p w14:paraId="47F5DF27" w14:textId="77777777" w:rsidR="00B14A87" w:rsidRPr="008D3D32" w:rsidRDefault="00B14A87" w:rsidP="004F2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E7EB71B" w14:textId="55B3FC49" w:rsidR="00B14A87" w:rsidRPr="008D3D32" w:rsidRDefault="00B14A87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D32">
              <w:rPr>
                <w:rFonts w:ascii="Arial" w:hAnsi="Arial" w:cs="Arial"/>
                <w:b/>
                <w:sz w:val="24"/>
                <w:szCs w:val="24"/>
              </w:rPr>
              <w:t>Doc</w:t>
            </w:r>
            <w:r w:rsidR="003A5E2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D3D32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645" w:type="dxa"/>
          </w:tcPr>
          <w:p w14:paraId="1E435BC8" w14:textId="74E259E1" w:rsidR="00B14A87" w:rsidRPr="008D3D32" w:rsidRDefault="00B14A87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D32">
              <w:rPr>
                <w:rFonts w:ascii="Arial" w:hAnsi="Arial" w:cs="Arial"/>
                <w:b/>
                <w:sz w:val="24"/>
                <w:szCs w:val="24"/>
              </w:rPr>
              <w:t>Doc</w:t>
            </w:r>
            <w:r w:rsidR="003A5E2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D3D32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</w:tr>
      <w:tr w:rsidR="002135DD" w:rsidRPr="008D3D32" w14:paraId="519359C4" w14:textId="77777777" w:rsidTr="003A5E27">
        <w:trPr>
          <w:trHeight w:val="1134"/>
        </w:trPr>
        <w:tc>
          <w:tcPr>
            <w:tcW w:w="2350" w:type="dxa"/>
          </w:tcPr>
          <w:p w14:paraId="310F1A51" w14:textId="77777777" w:rsidR="00B14A87" w:rsidRPr="008D3D32" w:rsidRDefault="00B14A87" w:rsidP="002135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3D32">
              <w:rPr>
                <w:rFonts w:ascii="Arial" w:hAnsi="Arial" w:cs="Arial"/>
                <w:b/>
                <w:sz w:val="24"/>
                <w:szCs w:val="24"/>
              </w:rPr>
              <w:t>Relations villes-campagnes</w:t>
            </w:r>
          </w:p>
        </w:tc>
        <w:tc>
          <w:tcPr>
            <w:tcW w:w="3741" w:type="dxa"/>
          </w:tcPr>
          <w:p w14:paraId="2B7171AA" w14:textId="06284AE6" w:rsidR="00B14A87" w:rsidRP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A87" w:rsidRPr="003A5E27">
              <w:rPr>
                <w:rFonts w:ascii="Arial" w:hAnsi="Arial" w:cs="Arial"/>
                <w:sz w:val="24"/>
                <w:szCs w:val="24"/>
              </w:rPr>
              <w:t>Interdépendance ;</w:t>
            </w:r>
            <w:r w:rsidR="009B2847" w:rsidRPr="003A5E27">
              <w:rPr>
                <w:rFonts w:ascii="Arial" w:hAnsi="Arial" w:cs="Arial"/>
                <w:sz w:val="24"/>
                <w:szCs w:val="24"/>
              </w:rPr>
              <w:t xml:space="preserve"> complémentarité ; les ruraux utilisent les services présents dans les villes (université, centres commerciaux, év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="009B2847" w:rsidRPr="003A5E27">
              <w:rPr>
                <w:rFonts w:ascii="Arial" w:hAnsi="Arial" w:cs="Arial"/>
                <w:sz w:val="24"/>
                <w:szCs w:val="24"/>
              </w:rPr>
              <w:t>nements sportifs et culturels, aéroports</w:t>
            </w:r>
            <w:r w:rsidR="00446EF8" w:rsidRPr="003A5E27">
              <w:rPr>
                <w:rFonts w:ascii="Arial" w:hAnsi="Arial" w:cs="Arial"/>
                <w:sz w:val="24"/>
                <w:szCs w:val="24"/>
              </w:rPr>
              <w:t xml:space="preserve"> ; les citadins consomment les productions agricoles. </w:t>
            </w:r>
          </w:p>
        </w:tc>
        <w:tc>
          <w:tcPr>
            <w:tcW w:w="3645" w:type="dxa"/>
          </w:tcPr>
          <w:p w14:paraId="3A22513D" w14:textId="5E1B01BE" w:rsidR="00B14A87" w:rsidRP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A87" w:rsidRPr="003A5E27">
              <w:rPr>
                <w:rFonts w:ascii="Arial" w:hAnsi="Arial" w:cs="Arial"/>
                <w:sz w:val="24"/>
                <w:szCs w:val="24"/>
              </w:rPr>
              <w:t>Campagnes des villes</w:t>
            </w:r>
            <w:r w:rsidR="00446EF8" w:rsidRPr="003A5E27">
              <w:rPr>
                <w:rFonts w:ascii="Arial" w:hAnsi="Arial" w:cs="Arial"/>
                <w:sz w:val="24"/>
                <w:szCs w:val="24"/>
              </w:rPr>
              <w:t xml:space="preserve"> = périurbaines</w:t>
            </w:r>
            <w:r w:rsidR="00B14A87" w:rsidRPr="003A5E27">
              <w:rPr>
                <w:rFonts w:ascii="Arial" w:hAnsi="Arial" w:cs="Arial"/>
                <w:sz w:val="24"/>
                <w:szCs w:val="24"/>
              </w:rPr>
              <w:t> : fortes densités de population, proportion de retraités et de personnes âgées plus faible que la moyenne des campagnes</w:t>
            </w:r>
            <w:r w:rsidR="00F80D0D" w:rsidRPr="003A5E27">
              <w:rPr>
                <w:rFonts w:ascii="Arial" w:hAnsi="Arial" w:cs="Arial"/>
                <w:sz w:val="24"/>
                <w:szCs w:val="24"/>
              </w:rPr>
              <w:t> </w:t>
            </w:r>
            <w:r w:rsidR="00B14A87" w:rsidRPr="003A5E27">
              <w:rPr>
                <w:rFonts w:ascii="Arial" w:hAnsi="Arial" w:cs="Arial"/>
                <w:sz w:val="24"/>
                <w:szCs w:val="24"/>
              </w:rPr>
              <w:t>françaises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70D79" w:rsidRPr="003A5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A87" w:rsidRPr="003A5E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35DD" w:rsidRPr="008D3D32" w14:paraId="4910ABA7" w14:textId="77777777" w:rsidTr="003A5E27">
        <w:trPr>
          <w:trHeight w:val="1156"/>
        </w:trPr>
        <w:tc>
          <w:tcPr>
            <w:tcW w:w="2350" w:type="dxa"/>
          </w:tcPr>
          <w:p w14:paraId="1CE78E6B" w14:textId="77777777" w:rsidR="00B14A87" w:rsidRPr="008D3D32" w:rsidRDefault="00B14A87" w:rsidP="004F2F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3D32">
              <w:rPr>
                <w:rFonts w:ascii="Arial" w:hAnsi="Arial" w:cs="Arial"/>
                <w:b/>
                <w:sz w:val="24"/>
                <w:szCs w:val="24"/>
              </w:rPr>
              <w:t xml:space="preserve">Multifonctionnalité et défis </w:t>
            </w:r>
          </w:p>
        </w:tc>
        <w:tc>
          <w:tcPr>
            <w:tcW w:w="3741" w:type="dxa"/>
          </w:tcPr>
          <w:p w14:paraId="7A4F6D05" w14:textId="1682F569" w:rsidR="00B14A87" w:rsidRP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Ruralité plurielle ;</w:t>
            </w:r>
            <w:r w:rsidR="009B2847" w:rsidRPr="003A5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D79" w:rsidRPr="003A5E27">
              <w:rPr>
                <w:rFonts w:ascii="Arial" w:hAnsi="Arial" w:cs="Arial"/>
                <w:sz w:val="24"/>
                <w:szCs w:val="24"/>
              </w:rPr>
              <w:t>diversification des composantes et de l</w:t>
            </w:r>
            <w:r>
              <w:rPr>
                <w:rFonts w:ascii="Arial" w:hAnsi="Arial" w:cs="Arial"/>
                <w:sz w:val="24"/>
                <w:szCs w:val="24"/>
              </w:rPr>
              <w:t>a dynamique des espaces ruraux.</w:t>
            </w:r>
          </w:p>
          <w:p w14:paraId="67FBD319" w14:textId="77777777" w:rsid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643F7" w14:textId="72FA40B6" w:rsidR="009B2847" w:rsidRP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574" w:rsidRPr="003A5E27">
              <w:rPr>
                <w:rFonts w:ascii="Arial" w:hAnsi="Arial" w:cs="Arial"/>
                <w:sz w:val="24"/>
                <w:szCs w:val="24"/>
              </w:rPr>
              <w:t>D</w:t>
            </w:r>
            <w:r w:rsidR="00493987" w:rsidRPr="003A5E27">
              <w:rPr>
                <w:rFonts w:ascii="Arial" w:hAnsi="Arial" w:cs="Arial"/>
                <w:sz w:val="24"/>
                <w:szCs w:val="24"/>
              </w:rPr>
              <w:t>évelopper les infrastructures, les équipements, les services publics ; accroître l’attractivité et la compé</w:t>
            </w:r>
            <w:r>
              <w:rPr>
                <w:rFonts w:ascii="Arial" w:hAnsi="Arial" w:cs="Arial"/>
                <w:sz w:val="24"/>
                <w:szCs w:val="24"/>
              </w:rPr>
              <w:t>titivité économique des espaces r</w:t>
            </w:r>
            <w:r w:rsidR="00493987" w:rsidRPr="003A5E27">
              <w:rPr>
                <w:rFonts w:ascii="Arial" w:hAnsi="Arial" w:cs="Arial"/>
                <w:sz w:val="24"/>
                <w:szCs w:val="24"/>
              </w:rPr>
              <w:t>uraux</w:t>
            </w:r>
            <w:r>
              <w:rPr>
                <w:rFonts w:ascii="Arial" w:hAnsi="Arial" w:cs="Arial"/>
                <w:sz w:val="24"/>
                <w:szCs w:val="24"/>
              </w:rPr>
              <w:t xml:space="preserve"> (= modernisation) </w:t>
            </w:r>
            <w:r w:rsidR="00493987" w:rsidRPr="003A5E27">
              <w:rPr>
                <w:rFonts w:ascii="Arial" w:hAnsi="Arial" w:cs="Arial"/>
                <w:sz w:val="24"/>
                <w:szCs w:val="24"/>
              </w:rPr>
              <w:t>; d</w:t>
            </w:r>
            <w:r w:rsidR="009B2847" w:rsidRPr="003A5E27">
              <w:rPr>
                <w:rFonts w:ascii="Arial" w:hAnsi="Arial" w:cs="Arial"/>
                <w:sz w:val="24"/>
                <w:szCs w:val="24"/>
              </w:rPr>
              <w:t>éfi de la cohabitation entre les différentes fonctions et les usages du sol</w:t>
            </w:r>
            <w:r w:rsidR="00FA2574" w:rsidRPr="003A5E27">
              <w:rPr>
                <w:rFonts w:ascii="Arial" w:hAnsi="Arial" w:cs="Arial"/>
                <w:sz w:val="24"/>
                <w:szCs w:val="24"/>
              </w:rPr>
              <w:t xml:space="preserve"> (= conflits d’usage)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14:paraId="69B1EB9F" w14:textId="3FC11F1E" w:rsidR="000B238F" w:rsidRP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2847" w:rsidRPr="003A5E27">
              <w:rPr>
                <w:rFonts w:ascii="Arial" w:hAnsi="Arial" w:cs="Arial"/>
                <w:sz w:val="24"/>
                <w:szCs w:val="24"/>
              </w:rPr>
              <w:t>Plusieurs catégories de campagnes</w:t>
            </w:r>
            <w:r w:rsidR="00446EF8" w:rsidRPr="003A5E27">
              <w:rPr>
                <w:rFonts w:ascii="Arial" w:hAnsi="Arial" w:cs="Arial"/>
                <w:sz w:val="24"/>
                <w:szCs w:val="24"/>
              </w:rPr>
              <w:t xml:space="preserve"> avec des caractéristiques différentes : </w:t>
            </w:r>
            <w:r w:rsidR="00896AFD" w:rsidRPr="003A5E27">
              <w:rPr>
                <w:rFonts w:ascii="Arial" w:hAnsi="Arial" w:cs="Arial"/>
                <w:sz w:val="24"/>
                <w:szCs w:val="24"/>
              </w:rPr>
              <w:t>activité agricole inégale</w:t>
            </w:r>
            <w:r w:rsidR="005F195D" w:rsidRPr="003A5E27">
              <w:rPr>
                <w:rFonts w:ascii="Arial" w:hAnsi="Arial" w:cs="Arial"/>
                <w:sz w:val="24"/>
                <w:szCs w:val="24"/>
              </w:rPr>
              <w:t> </w:t>
            </w:r>
            <w:r w:rsidR="00FC7476" w:rsidRPr="003A5E27">
              <w:rPr>
                <w:rFonts w:ascii="Arial" w:hAnsi="Arial" w:cs="Arial"/>
                <w:sz w:val="24"/>
                <w:szCs w:val="24"/>
              </w:rPr>
              <w:t>(SAU, occupation du territoire)</w:t>
            </w:r>
            <w:r w:rsidR="00785E2A" w:rsidRPr="003A5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95D" w:rsidRPr="003A5E27">
              <w:rPr>
                <w:rFonts w:ascii="Arial" w:hAnsi="Arial" w:cs="Arial"/>
                <w:sz w:val="24"/>
                <w:szCs w:val="24"/>
              </w:rPr>
              <w:t xml:space="preserve">; campagnes industrielles. </w:t>
            </w:r>
          </w:p>
          <w:p w14:paraId="09689D63" w14:textId="77777777" w:rsidR="003A5E27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FA744" w14:textId="2CC66909" w:rsidR="00B14A87" w:rsidRPr="008D3D32" w:rsidRDefault="003A5E27" w:rsidP="003A5E27">
            <w:pPr>
              <w:rPr>
                <w:rFonts w:ascii="Arial" w:hAnsi="Arial" w:cs="Arial"/>
                <w:sz w:val="24"/>
                <w:szCs w:val="24"/>
              </w:rPr>
            </w:pPr>
            <w:r w:rsidRPr="003A5E27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238F" w:rsidRPr="003A5E27">
              <w:rPr>
                <w:rFonts w:ascii="Arial" w:hAnsi="Arial" w:cs="Arial"/>
                <w:sz w:val="24"/>
                <w:szCs w:val="24"/>
              </w:rPr>
              <w:t>D</w:t>
            </w:r>
            <w:r w:rsidR="00446EF8" w:rsidRPr="003A5E27">
              <w:rPr>
                <w:rFonts w:ascii="Arial" w:hAnsi="Arial" w:cs="Arial"/>
                <w:sz w:val="24"/>
                <w:szCs w:val="24"/>
              </w:rPr>
              <w:t>ensités et dynamiques démographiques contrastées</w:t>
            </w:r>
            <w:r w:rsidR="000B238F" w:rsidRPr="003A5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216" w:rsidRPr="003A5E2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970D79" w:rsidRPr="003A5E27">
              <w:rPr>
                <w:rFonts w:ascii="Arial" w:hAnsi="Arial" w:cs="Arial"/>
                <w:sz w:val="24"/>
                <w:szCs w:val="24"/>
              </w:rPr>
              <w:t xml:space="preserve">disparité entre des campagnes dynamiques et des campagnes vieillies </w:t>
            </w:r>
            <w:r w:rsidR="00476216" w:rsidRPr="008D3D32">
              <w:rPr>
                <w:rFonts w:ascii="Arial" w:hAnsi="Arial" w:cs="Arial"/>
                <w:sz w:val="24"/>
                <w:szCs w:val="24"/>
              </w:rPr>
              <w:t xml:space="preserve">(= </w:t>
            </w:r>
            <w:r w:rsidR="00446EF8" w:rsidRPr="008D3D32">
              <w:rPr>
                <w:rFonts w:ascii="Arial" w:hAnsi="Arial" w:cs="Arial"/>
                <w:sz w:val="24"/>
                <w:szCs w:val="24"/>
              </w:rPr>
              <w:t>fragmentation</w:t>
            </w:r>
            <w:r w:rsidR="00476216" w:rsidRPr="008D3D3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95F83E" w14:textId="77777777" w:rsidR="00B14A87" w:rsidRPr="008D3D32" w:rsidRDefault="00B14A87">
      <w:pPr>
        <w:rPr>
          <w:rFonts w:ascii="Arial" w:hAnsi="Arial" w:cs="Arial"/>
          <w:sz w:val="24"/>
          <w:szCs w:val="24"/>
        </w:rPr>
      </w:pPr>
    </w:p>
    <w:sectPr w:rsidR="00B14A87" w:rsidRPr="008D3D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880F4" w14:textId="77777777" w:rsidR="003A5E27" w:rsidRDefault="003A5E27" w:rsidP="003A5E27">
      <w:pPr>
        <w:spacing w:after="0" w:line="240" w:lineRule="auto"/>
      </w:pPr>
      <w:r>
        <w:separator/>
      </w:r>
    </w:p>
  </w:endnote>
  <w:endnote w:type="continuationSeparator" w:id="0">
    <w:p w14:paraId="4E8C77AB" w14:textId="77777777" w:rsidR="003A5E27" w:rsidRDefault="003A5E27" w:rsidP="003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A95F2" w14:textId="3FAD4D89" w:rsidR="003A5E27" w:rsidRDefault="003A5E27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24EB3" w14:textId="77777777" w:rsidR="003A5E27" w:rsidRDefault="003A5E27" w:rsidP="003A5E27">
      <w:pPr>
        <w:spacing w:after="0" w:line="240" w:lineRule="auto"/>
      </w:pPr>
      <w:r>
        <w:separator/>
      </w:r>
    </w:p>
  </w:footnote>
  <w:footnote w:type="continuationSeparator" w:id="0">
    <w:p w14:paraId="7B2E2DEA" w14:textId="77777777" w:rsidR="003A5E27" w:rsidRDefault="003A5E27" w:rsidP="003A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57861" w14:textId="5B0831CB" w:rsidR="003A5E27" w:rsidRDefault="003A5E27" w:rsidP="003A5E27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Thème 3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Les espaces ruraux : multifonctionnalité ou fragmentation ?</w:t>
    </w:r>
  </w:p>
  <w:p w14:paraId="27126FAA" w14:textId="77777777" w:rsidR="003A5E27" w:rsidRDefault="003A5E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174"/>
    <w:multiLevelType w:val="hybridMultilevel"/>
    <w:tmpl w:val="97D693FE"/>
    <w:lvl w:ilvl="0" w:tplc="9EBE4D4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52B91"/>
    <w:multiLevelType w:val="hybridMultilevel"/>
    <w:tmpl w:val="642A38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0CD7"/>
    <w:multiLevelType w:val="hybridMultilevel"/>
    <w:tmpl w:val="EA127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10F"/>
    <w:multiLevelType w:val="hybridMultilevel"/>
    <w:tmpl w:val="BC742D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76117"/>
    <w:multiLevelType w:val="hybridMultilevel"/>
    <w:tmpl w:val="DA36C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7D18"/>
    <w:multiLevelType w:val="hybridMultilevel"/>
    <w:tmpl w:val="A33EF8C2"/>
    <w:lvl w:ilvl="0" w:tplc="DD9ADA92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87"/>
    <w:rsid w:val="000B238F"/>
    <w:rsid w:val="001F6FED"/>
    <w:rsid w:val="002135DD"/>
    <w:rsid w:val="002420B9"/>
    <w:rsid w:val="00244EFF"/>
    <w:rsid w:val="002F6E83"/>
    <w:rsid w:val="00384BD6"/>
    <w:rsid w:val="0038532B"/>
    <w:rsid w:val="003A5E27"/>
    <w:rsid w:val="003B06F6"/>
    <w:rsid w:val="00446EF8"/>
    <w:rsid w:val="00476216"/>
    <w:rsid w:val="004801F9"/>
    <w:rsid w:val="00493987"/>
    <w:rsid w:val="00522F24"/>
    <w:rsid w:val="005F195D"/>
    <w:rsid w:val="00785E2A"/>
    <w:rsid w:val="00896AFD"/>
    <w:rsid w:val="008B7FAC"/>
    <w:rsid w:val="008D3D32"/>
    <w:rsid w:val="009554C7"/>
    <w:rsid w:val="009650AB"/>
    <w:rsid w:val="00970D79"/>
    <w:rsid w:val="00977957"/>
    <w:rsid w:val="009B2847"/>
    <w:rsid w:val="00A56D6C"/>
    <w:rsid w:val="00B03471"/>
    <w:rsid w:val="00B14A87"/>
    <w:rsid w:val="00C80F10"/>
    <w:rsid w:val="00CA0C26"/>
    <w:rsid w:val="00CD2BB6"/>
    <w:rsid w:val="00CE0DC9"/>
    <w:rsid w:val="00D57660"/>
    <w:rsid w:val="00E015B7"/>
    <w:rsid w:val="00EC2E07"/>
    <w:rsid w:val="00EF6624"/>
    <w:rsid w:val="00F349D3"/>
    <w:rsid w:val="00F80D0D"/>
    <w:rsid w:val="00F8333C"/>
    <w:rsid w:val="00FA2574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2853"/>
  <w15:chartTrackingRefBased/>
  <w15:docId w15:val="{FBF85A06-9765-4537-B42E-4316F1D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4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4A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E27"/>
  </w:style>
  <w:style w:type="paragraph" w:styleId="Pieddepage">
    <w:name w:val="footer"/>
    <w:basedOn w:val="Normal"/>
    <w:link w:val="PieddepageCar"/>
    <w:uiPriority w:val="99"/>
    <w:unhideWhenUsed/>
    <w:rsid w:val="003A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37</cp:revision>
  <dcterms:created xsi:type="dcterms:W3CDTF">2019-09-30T14:06:00Z</dcterms:created>
  <dcterms:modified xsi:type="dcterms:W3CDTF">2019-10-14T12:44:00Z</dcterms:modified>
</cp:coreProperties>
</file>